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bCs/>
          <w:color w:val="000000"/>
          <w:sz w:val="30"/>
          <w:szCs w:val="30"/>
        </w:rPr>
      </w:pPr>
      <w:bookmarkStart w:id="0" w:name="_GoBack"/>
      <w:r>
        <w:rPr>
          <w:rFonts w:hint="eastAsia" w:ascii="黑体" w:eastAsia="黑体" w:cs="仿宋_GB2312"/>
          <w:bCs/>
          <w:color w:val="000000"/>
          <w:sz w:val="30"/>
          <w:szCs w:val="30"/>
        </w:rPr>
        <w:t>产品风险分析资料</w:t>
      </w:r>
    </w:p>
    <w:bookmarkEnd w:id="0"/>
    <w:p>
      <w:pPr>
        <w:spacing w:line="560" w:lineRule="exact"/>
        <w:ind w:firstLine="640"/>
        <w:rPr>
          <w:rFonts w:ascii="仿宋_GB2312" w:eastAsia="仿宋_GB2312" w:cs="仿宋_GB2312"/>
          <w:bCs/>
          <w:color w:val="000000"/>
          <w:sz w:val="30"/>
          <w:szCs w:val="30"/>
        </w:rPr>
      </w:pPr>
      <w:r>
        <w:rPr>
          <w:rFonts w:hint="eastAsia" w:ascii="仿宋_GB2312" w:eastAsia="仿宋_GB2312" w:cs="仿宋_GB2312"/>
          <w:bCs/>
          <w:color w:val="000000"/>
          <w:sz w:val="30"/>
          <w:szCs w:val="30"/>
        </w:rPr>
        <w:t>产品风险分析资料是对产品的风险管理过程及其评审的结果予以记录所形成的资料。应当提供对于每项已判定危害的下列各个过程的可追溯性：</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（一）风险分析：包括医疗器械适用范围和与安全性有关特征的判定、危害的判定、估计每个危害处境的风险。</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（二）风险评价：对于每个已判定的危害处境，评价和决定是否需要降低风险。</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（三）风险控制措施的实施和验证结果，必要时应当引用检测和评价性报告，如医用电气安全、生物学评价等。</w:t>
      </w:r>
    </w:p>
    <w:p>
      <w:r>
        <w:rPr>
          <w:rFonts w:hint="eastAsia" w:ascii="仿宋_GB2312" w:eastAsia="仿宋_GB2312"/>
          <w:color w:val="000000"/>
          <w:sz w:val="30"/>
          <w:szCs w:val="30"/>
        </w:rPr>
        <w:t>（四）任何一个或多个剩余风险的可接受性评定。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Damascus">
    <w:altName w:val="Courier New"/>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8A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gdfda</dc:creator>
  <cp:lastModifiedBy>gdfda</cp:lastModifiedBy>
  <dcterms:modified xsi:type="dcterms:W3CDTF">2020-09-29T07:18:00Z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